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315E" w:rsidRPr="00B7344A" w:rsidRDefault="0037315E" w:rsidP="00B7344A">
      <w:pPr>
        <w:spacing w:line="480" w:lineRule="auto"/>
        <w:rPr>
          <w:rFonts w:ascii="Times New Roman" w:hAnsi="Times New Roman" w:cs="Times New Roman"/>
          <w:sz w:val="24"/>
          <w:szCs w:val="24"/>
        </w:rPr>
      </w:pPr>
      <w:r w:rsidRPr="00B7344A">
        <w:rPr>
          <w:rFonts w:ascii="Times New Roman" w:hAnsi="Times New Roman" w:cs="Times New Roman"/>
          <w:sz w:val="24"/>
          <w:szCs w:val="24"/>
        </w:rPr>
        <w:t>Student’s Name</w:t>
      </w:r>
    </w:p>
    <w:p w:rsidR="0037315E" w:rsidRPr="00B7344A" w:rsidRDefault="0037315E" w:rsidP="00B7344A">
      <w:pPr>
        <w:spacing w:line="480" w:lineRule="auto"/>
        <w:rPr>
          <w:rFonts w:ascii="Times New Roman" w:hAnsi="Times New Roman" w:cs="Times New Roman"/>
          <w:sz w:val="24"/>
          <w:szCs w:val="24"/>
        </w:rPr>
      </w:pPr>
      <w:r w:rsidRPr="00B7344A">
        <w:rPr>
          <w:rFonts w:ascii="Times New Roman" w:hAnsi="Times New Roman" w:cs="Times New Roman"/>
          <w:sz w:val="24"/>
          <w:szCs w:val="24"/>
        </w:rPr>
        <w:t>Professor’s Name</w:t>
      </w:r>
    </w:p>
    <w:p w:rsidR="0037315E" w:rsidRPr="00B7344A" w:rsidRDefault="0037315E" w:rsidP="00B7344A">
      <w:pPr>
        <w:spacing w:line="480" w:lineRule="auto"/>
        <w:rPr>
          <w:rFonts w:ascii="Times New Roman" w:hAnsi="Times New Roman" w:cs="Times New Roman"/>
          <w:sz w:val="24"/>
          <w:szCs w:val="24"/>
        </w:rPr>
      </w:pPr>
      <w:r w:rsidRPr="00B7344A">
        <w:rPr>
          <w:rFonts w:ascii="Times New Roman" w:hAnsi="Times New Roman" w:cs="Times New Roman"/>
          <w:sz w:val="24"/>
          <w:szCs w:val="24"/>
        </w:rPr>
        <w:t>Course Details</w:t>
      </w:r>
    </w:p>
    <w:p w:rsidR="0037315E" w:rsidRPr="00B7344A" w:rsidRDefault="0037315E" w:rsidP="00B7344A">
      <w:pPr>
        <w:spacing w:line="480" w:lineRule="auto"/>
        <w:rPr>
          <w:rFonts w:ascii="Times New Roman" w:hAnsi="Times New Roman" w:cs="Times New Roman"/>
          <w:sz w:val="24"/>
          <w:szCs w:val="24"/>
        </w:rPr>
      </w:pPr>
      <w:r w:rsidRPr="00B7344A">
        <w:rPr>
          <w:rFonts w:ascii="Times New Roman" w:hAnsi="Times New Roman" w:cs="Times New Roman"/>
          <w:sz w:val="24"/>
          <w:szCs w:val="24"/>
        </w:rPr>
        <w:t>Date</w:t>
      </w:r>
    </w:p>
    <w:p w:rsidR="001421F5" w:rsidRPr="00B7344A" w:rsidRDefault="00860C00" w:rsidP="00B7344A">
      <w:pPr>
        <w:spacing w:line="480" w:lineRule="auto"/>
        <w:ind w:firstLine="720"/>
        <w:rPr>
          <w:rFonts w:ascii="Times New Roman" w:hAnsi="Times New Roman" w:cs="Times New Roman"/>
          <w:sz w:val="24"/>
          <w:szCs w:val="24"/>
        </w:rPr>
      </w:pPr>
      <w:r w:rsidRPr="00B7344A">
        <w:rPr>
          <w:rFonts w:ascii="Times New Roman" w:hAnsi="Times New Roman" w:cs="Times New Roman"/>
          <w:sz w:val="24"/>
          <w:szCs w:val="24"/>
        </w:rPr>
        <w:t xml:space="preserve">Trevor Hoag attempts to provide a critical analysis of the common perception of the use of technological devices. His work aims at negating the perception that device use can be evaluated along the same lines as addiction and drugs. Hoag introduces the concept through illustrations of the common perception towards preference for classroom technologies. Hoag then provides analytical grounds. First, he articulates his point through the response given by students from his upper-division Digital Writing Course on their addiction to technology. The student had already been primed through the reading and discussion forums of Hoag’s Enculturation Essay where he </w:t>
      </w:r>
      <w:r w:rsidR="00411832" w:rsidRPr="00B7344A">
        <w:rPr>
          <w:rFonts w:ascii="Times New Roman" w:hAnsi="Times New Roman" w:cs="Times New Roman"/>
          <w:sz w:val="24"/>
          <w:szCs w:val="24"/>
        </w:rPr>
        <w:t xml:space="preserve">outlines his concerns regarding the relationship of drugs and addiction, with the concept of technology. The preparation of the students also required them to watch a Ted Talk whose content challenged the existing perceptions and notions of addiction. The participants also shared their opinions on their behaviors of digital media platforms. Hoag uses their input as his evidence, and continues to provide grounds for analysis for the data. Trevor Hoag hopes his work may impact educators into positive transformation of attitudes with regards to </w:t>
      </w:r>
      <w:r w:rsidR="005B1255" w:rsidRPr="00B7344A">
        <w:rPr>
          <w:rFonts w:ascii="Times New Roman" w:hAnsi="Times New Roman" w:cs="Times New Roman"/>
          <w:sz w:val="24"/>
          <w:szCs w:val="24"/>
        </w:rPr>
        <w:t xml:space="preserve">attitudes and practices, and also hopes that his work may form the basis of further debates. </w:t>
      </w:r>
    </w:p>
    <w:p w:rsidR="00411832" w:rsidRPr="00B7344A" w:rsidRDefault="003F63F1" w:rsidP="00B7344A">
      <w:pPr>
        <w:spacing w:line="480" w:lineRule="auto"/>
        <w:ind w:firstLine="720"/>
        <w:rPr>
          <w:rFonts w:ascii="Times New Roman" w:hAnsi="Times New Roman" w:cs="Times New Roman"/>
          <w:sz w:val="24"/>
          <w:szCs w:val="24"/>
        </w:rPr>
      </w:pPr>
      <w:r w:rsidRPr="00B7344A">
        <w:rPr>
          <w:rFonts w:ascii="Times New Roman" w:hAnsi="Times New Roman" w:cs="Times New Roman"/>
          <w:sz w:val="24"/>
          <w:szCs w:val="24"/>
        </w:rPr>
        <w:t xml:space="preserve">Trevor Hoag is successful in illustrating the concept of addiction through the perception and understanding of the students. He achieves his purpose fully by recounting how their </w:t>
      </w:r>
      <w:r w:rsidR="003F373C" w:rsidRPr="00B7344A">
        <w:rPr>
          <w:rFonts w:ascii="Times New Roman" w:hAnsi="Times New Roman" w:cs="Times New Roman"/>
          <w:sz w:val="24"/>
          <w:szCs w:val="24"/>
        </w:rPr>
        <w:t>perceptions differ</w:t>
      </w:r>
      <w:r w:rsidRPr="00B7344A">
        <w:rPr>
          <w:rFonts w:ascii="Times New Roman" w:hAnsi="Times New Roman" w:cs="Times New Roman"/>
          <w:sz w:val="24"/>
          <w:szCs w:val="24"/>
        </w:rPr>
        <w:t xml:space="preserve"> from each other. There are those that are in </w:t>
      </w:r>
      <w:r w:rsidR="003F373C" w:rsidRPr="00B7344A">
        <w:rPr>
          <w:rFonts w:ascii="Times New Roman" w:hAnsi="Times New Roman" w:cs="Times New Roman"/>
          <w:sz w:val="24"/>
          <w:szCs w:val="24"/>
        </w:rPr>
        <w:t>a</w:t>
      </w:r>
      <w:r w:rsidRPr="00B7344A">
        <w:rPr>
          <w:rFonts w:ascii="Times New Roman" w:hAnsi="Times New Roman" w:cs="Times New Roman"/>
          <w:sz w:val="24"/>
          <w:szCs w:val="24"/>
        </w:rPr>
        <w:t>gree</w:t>
      </w:r>
      <w:r w:rsidR="003F373C" w:rsidRPr="00B7344A">
        <w:rPr>
          <w:rFonts w:ascii="Times New Roman" w:hAnsi="Times New Roman" w:cs="Times New Roman"/>
          <w:sz w:val="24"/>
          <w:szCs w:val="24"/>
        </w:rPr>
        <w:t xml:space="preserve">ment with the stereotyping by </w:t>
      </w:r>
      <w:r w:rsidR="003F373C" w:rsidRPr="00B7344A">
        <w:rPr>
          <w:rFonts w:ascii="Times New Roman" w:hAnsi="Times New Roman" w:cs="Times New Roman"/>
          <w:sz w:val="24"/>
          <w:szCs w:val="24"/>
        </w:rPr>
        <w:lastRenderedPageBreak/>
        <w:t>teachers and other professionally stated arguments</w:t>
      </w:r>
      <w:r w:rsidR="00C1588E" w:rsidRPr="00B7344A">
        <w:rPr>
          <w:rFonts w:ascii="Times New Roman" w:hAnsi="Times New Roman" w:cs="Times New Roman"/>
          <w:sz w:val="24"/>
          <w:szCs w:val="24"/>
        </w:rPr>
        <w:t xml:space="preserve"> (Hoag, 2018, p.3-6)</w:t>
      </w:r>
      <w:r w:rsidR="003F373C" w:rsidRPr="00B7344A">
        <w:rPr>
          <w:rFonts w:ascii="Times New Roman" w:hAnsi="Times New Roman" w:cs="Times New Roman"/>
          <w:sz w:val="24"/>
          <w:szCs w:val="24"/>
        </w:rPr>
        <w:t>. There are also those students whose opinion is original, even though they borrow the foundation for their argument. The intended aim of Hoag’s essay is critical in understanding the classroom environment and atmosphere. Though, originally, I thought it was too broad a concept to cover with just a single paper, Hoag illustrated a methodical arrangement of facts and opinions that proves adequate for the topic chosen. The evidence from the students is strong and effective, since they are the target element of victimization and stereotyping. Another reasoning that makes the opinion of the student integral in the paper is they are allowed to voice their opinions, not just to simply recant what they’ve heard. Since preparation of the group is influential and effective, the students’ opinions have firm foundations and understanding of the topic</w:t>
      </w:r>
    </w:p>
    <w:p w:rsidR="003F373C" w:rsidRPr="00B7344A" w:rsidRDefault="003F373C" w:rsidP="00B7344A">
      <w:pPr>
        <w:spacing w:line="480" w:lineRule="auto"/>
        <w:ind w:firstLine="720"/>
        <w:rPr>
          <w:rFonts w:ascii="Times New Roman" w:hAnsi="Times New Roman" w:cs="Times New Roman"/>
          <w:sz w:val="24"/>
          <w:szCs w:val="24"/>
        </w:rPr>
      </w:pPr>
      <w:r w:rsidRPr="00B7344A">
        <w:rPr>
          <w:rFonts w:ascii="Times New Roman" w:hAnsi="Times New Roman" w:cs="Times New Roman"/>
          <w:sz w:val="24"/>
          <w:szCs w:val="24"/>
        </w:rPr>
        <w:t xml:space="preserve">I do not think I can supply further explanation to clarify the points as detailed in the essay, since Hoag employs clarity effectively. I am also a student, and I agree with Hoag’s assessment of connection as opposed to addiction. The technologies are a mandatory aspect of the classroom environment in current times, </w:t>
      </w:r>
      <w:r w:rsidR="007244A7" w:rsidRPr="00B7344A">
        <w:rPr>
          <w:rFonts w:ascii="Times New Roman" w:hAnsi="Times New Roman" w:cs="Times New Roman"/>
          <w:sz w:val="24"/>
          <w:szCs w:val="24"/>
        </w:rPr>
        <w:t>and I think they should be embraced rather than shunned. Hoag illustrated that collective effort using the technologies qualifies as teamwork, but I disagree. Whenever possible, group assessment requires platforms of face to face communication. Though technology offers a more conducive platform that is custom for every participant, I prefer the latter since, to me, they are more effective. The confrontation that Hoag speaks of during discussion is critical i</w:t>
      </w:r>
      <w:r w:rsidR="00C1588E" w:rsidRPr="00B7344A">
        <w:rPr>
          <w:rFonts w:ascii="Times New Roman" w:hAnsi="Times New Roman" w:cs="Times New Roman"/>
          <w:sz w:val="24"/>
          <w:szCs w:val="24"/>
        </w:rPr>
        <w:t xml:space="preserve">n understanding and expounding </w:t>
      </w:r>
      <w:r w:rsidR="007244A7" w:rsidRPr="00B7344A">
        <w:rPr>
          <w:rFonts w:ascii="Times New Roman" w:hAnsi="Times New Roman" w:cs="Times New Roman"/>
          <w:sz w:val="24"/>
          <w:szCs w:val="24"/>
        </w:rPr>
        <w:t>on concepts</w:t>
      </w:r>
      <w:r w:rsidR="00C1588E" w:rsidRPr="00B7344A">
        <w:rPr>
          <w:rFonts w:ascii="Times New Roman" w:hAnsi="Times New Roman" w:cs="Times New Roman"/>
          <w:sz w:val="24"/>
          <w:szCs w:val="24"/>
        </w:rPr>
        <w:t xml:space="preserve"> (Hoag, 2018, p.9)</w:t>
      </w:r>
      <w:r w:rsidR="007244A7" w:rsidRPr="00B7344A">
        <w:rPr>
          <w:rFonts w:ascii="Times New Roman" w:hAnsi="Times New Roman" w:cs="Times New Roman"/>
          <w:sz w:val="24"/>
          <w:szCs w:val="24"/>
        </w:rPr>
        <w:t>. I have also found myself in precarious situations in classrooms where educators ban the use of technology</w:t>
      </w:r>
      <w:r w:rsidR="00C1588E" w:rsidRPr="00B7344A">
        <w:rPr>
          <w:rFonts w:ascii="Times New Roman" w:hAnsi="Times New Roman" w:cs="Times New Roman"/>
          <w:sz w:val="24"/>
          <w:szCs w:val="24"/>
        </w:rPr>
        <w:t xml:space="preserve"> </w:t>
      </w:r>
      <w:r w:rsidR="00C1588E" w:rsidRPr="00B7344A">
        <w:rPr>
          <w:rFonts w:ascii="Times New Roman" w:hAnsi="Times New Roman" w:cs="Times New Roman"/>
          <w:noProof/>
          <w:sz w:val="24"/>
          <w:szCs w:val="24"/>
        </w:rPr>
        <w:t>(Hoag, 2018, p.9)</w:t>
      </w:r>
      <w:r w:rsidR="00C1588E" w:rsidRPr="00B7344A">
        <w:rPr>
          <w:rFonts w:ascii="Times New Roman" w:hAnsi="Times New Roman" w:cs="Times New Roman"/>
          <w:sz w:val="24"/>
          <w:szCs w:val="24"/>
        </w:rPr>
        <w:t>,</w:t>
      </w:r>
      <w:r w:rsidR="007244A7" w:rsidRPr="00B7344A">
        <w:rPr>
          <w:rFonts w:ascii="Times New Roman" w:hAnsi="Times New Roman" w:cs="Times New Roman"/>
          <w:sz w:val="24"/>
          <w:szCs w:val="24"/>
        </w:rPr>
        <w:t xml:space="preserve"> when in fact such platforms increase the effectiveness of comprehension. </w:t>
      </w:r>
    </w:p>
    <w:p w:rsidR="000600E8" w:rsidRPr="00B7344A" w:rsidRDefault="007244A7" w:rsidP="00B7344A">
      <w:pPr>
        <w:spacing w:line="480" w:lineRule="auto"/>
        <w:ind w:firstLine="720"/>
        <w:rPr>
          <w:rFonts w:ascii="Times New Roman" w:hAnsi="Times New Roman" w:cs="Times New Roman"/>
          <w:noProof/>
          <w:sz w:val="24"/>
          <w:szCs w:val="24"/>
        </w:rPr>
      </w:pPr>
      <w:r w:rsidRPr="00B7344A">
        <w:rPr>
          <w:rFonts w:ascii="Times New Roman" w:hAnsi="Times New Roman" w:cs="Times New Roman"/>
          <w:sz w:val="24"/>
          <w:szCs w:val="24"/>
        </w:rPr>
        <w:lastRenderedPageBreak/>
        <w:t xml:space="preserve">I applaud Hoag’s organization and presentation. The careful and methodical structure used first provides the stereotyping followed by grounds for analysis. The most effective skill employed by Hoag is concluding with the perception of the students. The tactic allows for the reader to flow through the presentation and by recounting certain elements when presenting the views of the student, Hoag enhance comprehension of the subject matter. </w:t>
      </w:r>
      <w:r w:rsidR="00A7494E" w:rsidRPr="00B7344A">
        <w:rPr>
          <w:rFonts w:ascii="Times New Roman" w:hAnsi="Times New Roman" w:cs="Times New Roman"/>
          <w:sz w:val="24"/>
          <w:szCs w:val="24"/>
        </w:rPr>
        <w:t xml:space="preserve">The students’ perception is last, and thus is the lasting impression left with the reader. </w:t>
      </w:r>
    </w:p>
    <w:p w:rsidR="000600E8" w:rsidRPr="00B7344A" w:rsidRDefault="000600E8" w:rsidP="00B7344A">
      <w:pPr>
        <w:spacing w:line="480" w:lineRule="auto"/>
        <w:rPr>
          <w:rFonts w:ascii="Times New Roman" w:hAnsi="Times New Roman" w:cs="Times New Roman"/>
          <w:noProof/>
          <w:sz w:val="24"/>
          <w:szCs w:val="24"/>
        </w:rPr>
      </w:pPr>
      <w:r w:rsidRPr="00B7344A">
        <w:rPr>
          <w:rFonts w:ascii="Times New Roman" w:hAnsi="Times New Roman" w:cs="Times New Roman"/>
          <w:noProof/>
          <w:sz w:val="24"/>
          <w:szCs w:val="24"/>
        </w:rPr>
        <w:br w:type="page"/>
      </w:r>
    </w:p>
    <w:sdt>
      <w:sdtPr>
        <w:rPr>
          <w:rFonts w:ascii="Times New Roman" w:hAnsi="Times New Roman" w:cs="Times New Roman"/>
          <w:color w:val="auto"/>
          <w:sz w:val="24"/>
          <w:szCs w:val="24"/>
        </w:rPr>
        <w:id w:val="22132878"/>
        <w:docPartObj>
          <w:docPartGallery w:val="Bibliographies"/>
          <w:docPartUnique/>
        </w:docPartObj>
      </w:sdtPr>
      <w:sdtEndPr>
        <w:rPr>
          <w:rFonts w:eastAsiaTheme="minorEastAsia"/>
          <w:b w:val="0"/>
          <w:bCs w:val="0"/>
          <w:lang w:bidi="ar-SA"/>
        </w:rPr>
      </w:sdtEndPr>
      <w:sdtContent>
        <w:p w:rsidR="000600E8" w:rsidRPr="00B7344A" w:rsidRDefault="000600E8" w:rsidP="00B7344A">
          <w:pPr>
            <w:pStyle w:val="Heading1"/>
            <w:spacing w:line="480" w:lineRule="auto"/>
            <w:jc w:val="center"/>
            <w:rPr>
              <w:rFonts w:ascii="Times New Roman" w:hAnsi="Times New Roman" w:cs="Times New Roman"/>
              <w:color w:val="auto"/>
              <w:sz w:val="24"/>
              <w:szCs w:val="24"/>
            </w:rPr>
          </w:pPr>
          <w:r w:rsidRPr="00B7344A">
            <w:rPr>
              <w:rFonts w:ascii="Times New Roman" w:hAnsi="Times New Roman" w:cs="Times New Roman"/>
              <w:color w:val="auto"/>
              <w:sz w:val="24"/>
              <w:szCs w:val="24"/>
            </w:rPr>
            <w:t>Works Cited</w:t>
          </w:r>
        </w:p>
        <w:p w:rsidR="000600E8" w:rsidRPr="00B7344A" w:rsidRDefault="000600E8" w:rsidP="00B7344A">
          <w:pPr>
            <w:pStyle w:val="Bibliography"/>
            <w:spacing w:line="480" w:lineRule="auto"/>
            <w:ind w:left="720" w:hanging="720"/>
            <w:rPr>
              <w:rFonts w:ascii="Times New Roman" w:hAnsi="Times New Roman" w:cs="Times New Roman"/>
              <w:noProof/>
              <w:sz w:val="24"/>
              <w:szCs w:val="24"/>
            </w:rPr>
          </w:pPr>
          <w:r w:rsidRPr="00B7344A">
            <w:rPr>
              <w:rFonts w:ascii="Times New Roman" w:hAnsi="Times New Roman" w:cs="Times New Roman"/>
              <w:sz w:val="24"/>
              <w:szCs w:val="24"/>
            </w:rPr>
            <w:fldChar w:fldCharType="begin"/>
          </w:r>
          <w:r w:rsidRPr="00B7344A">
            <w:rPr>
              <w:rFonts w:ascii="Times New Roman" w:hAnsi="Times New Roman" w:cs="Times New Roman"/>
              <w:sz w:val="24"/>
              <w:szCs w:val="24"/>
            </w:rPr>
            <w:instrText xml:space="preserve"> BIBLIOGRAPHY </w:instrText>
          </w:r>
          <w:r w:rsidRPr="00B7344A">
            <w:rPr>
              <w:rFonts w:ascii="Times New Roman" w:hAnsi="Times New Roman" w:cs="Times New Roman"/>
              <w:sz w:val="24"/>
              <w:szCs w:val="24"/>
            </w:rPr>
            <w:fldChar w:fldCharType="separate"/>
          </w:r>
          <w:r w:rsidRPr="00B7344A">
            <w:rPr>
              <w:rFonts w:ascii="Times New Roman" w:hAnsi="Times New Roman" w:cs="Times New Roman"/>
              <w:noProof/>
              <w:sz w:val="24"/>
              <w:szCs w:val="24"/>
            </w:rPr>
            <w:t xml:space="preserve">Hoag, Trevor. "From Addiction to Connection: Questioning the Rhetoric of Drugs in Relation to Student Technology-Use." </w:t>
          </w:r>
          <w:r w:rsidRPr="00B7344A">
            <w:rPr>
              <w:rFonts w:ascii="Times New Roman" w:hAnsi="Times New Roman" w:cs="Times New Roman"/>
              <w:noProof/>
              <w:sz w:val="24"/>
              <w:szCs w:val="24"/>
              <w:u w:val="single"/>
            </w:rPr>
            <w:t>The Journal of Interactive Technology &amp; Pedagogy</w:t>
          </w:r>
          <w:r w:rsidRPr="00B7344A">
            <w:rPr>
              <w:rFonts w:ascii="Times New Roman" w:hAnsi="Times New Roman" w:cs="Times New Roman"/>
              <w:noProof/>
              <w:sz w:val="24"/>
              <w:szCs w:val="24"/>
            </w:rPr>
            <w:t xml:space="preserve"> 13 (2018).</w:t>
          </w:r>
        </w:p>
        <w:p w:rsidR="000600E8" w:rsidRPr="00B7344A" w:rsidRDefault="000600E8" w:rsidP="00B7344A">
          <w:pPr>
            <w:spacing w:line="480" w:lineRule="auto"/>
            <w:ind w:left="720" w:hanging="720"/>
            <w:rPr>
              <w:rFonts w:ascii="Times New Roman" w:hAnsi="Times New Roman" w:cs="Times New Roman"/>
              <w:sz w:val="24"/>
              <w:szCs w:val="24"/>
            </w:rPr>
          </w:pPr>
          <w:r w:rsidRPr="00B7344A">
            <w:rPr>
              <w:rFonts w:ascii="Times New Roman" w:hAnsi="Times New Roman" w:cs="Times New Roman"/>
              <w:sz w:val="24"/>
              <w:szCs w:val="24"/>
            </w:rPr>
            <w:fldChar w:fldCharType="end"/>
          </w:r>
        </w:p>
      </w:sdtContent>
    </w:sdt>
    <w:p w:rsidR="001421F5" w:rsidRPr="00B7344A" w:rsidRDefault="001421F5" w:rsidP="00B7344A">
      <w:pPr>
        <w:spacing w:line="480" w:lineRule="auto"/>
        <w:ind w:firstLine="720"/>
        <w:rPr>
          <w:rFonts w:ascii="Times New Roman" w:hAnsi="Times New Roman" w:cs="Times New Roman"/>
          <w:sz w:val="24"/>
          <w:szCs w:val="24"/>
        </w:rPr>
      </w:pPr>
    </w:p>
    <w:sectPr w:rsidR="001421F5" w:rsidRPr="00B7344A" w:rsidSect="000600E8">
      <w:head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31D1A" w:rsidRDefault="00531D1A" w:rsidP="000600E8">
      <w:pPr>
        <w:spacing w:after="0" w:line="240" w:lineRule="auto"/>
      </w:pPr>
      <w:r>
        <w:separator/>
      </w:r>
    </w:p>
  </w:endnote>
  <w:endnote w:type="continuationSeparator" w:id="1">
    <w:p w:rsidR="00531D1A" w:rsidRDefault="00531D1A" w:rsidP="000600E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altName w:val="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31D1A" w:rsidRDefault="00531D1A" w:rsidP="000600E8">
      <w:pPr>
        <w:spacing w:after="0" w:line="240" w:lineRule="auto"/>
      </w:pPr>
      <w:r>
        <w:separator/>
      </w:r>
    </w:p>
  </w:footnote>
  <w:footnote w:type="continuationSeparator" w:id="1">
    <w:p w:rsidR="00531D1A" w:rsidRDefault="00531D1A" w:rsidP="000600E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00E8" w:rsidRDefault="000600E8">
    <w:pPr>
      <w:pStyle w:val="Header"/>
      <w:jc w:val="right"/>
    </w:pPr>
    <w:r>
      <w:t xml:space="preserve">Surname </w:t>
    </w:r>
    <w:sdt>
      <w:sdtPr>
        <w:id w:val="22132882"/>
        <w:docPartObj>
          <w:docPartGallery w:val="Page Numbers (Top of Page)"/>
          <w:docPartUnique/>
        </w:docPartObj>
      </w:sdtPr>
      <w:sdtContent>
        <w:fldSimple w:instr=" PAGE   \* MERGEFORMAT ">
          <w:r w:rsidR="00B7344A">
            <w:rPr>
              <w:noProof/>
            </w:rPr>
            <w:t>2</w:t>
          </w:r>
        </w:fldSimple>
      </w:sdtContent>
    </w:sdt>
  </w:p>
  <w:p w:rsidR="000600E8" w:rsidRDefault="000600E8">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C633A6"/>
    <w:multiLevelType w:val="hybridMultilevel"/>
    <w:tmpl w:val="149A99CA"/>
    <w:lvl w:ilvl="0" w:tplc="1B0C0C6E">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F197116"/>
    <w:multiLevelType w:val="hybridMultilevel"/>
    <w:tmpl w:val="6F220C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1421F5"/>
    <w:rsid w:val="000600E8"/>
    <w:rsid w:val="001421F5"/>
    <w:rsid w:val="0037315E"/>
    <w:rsid w:val="003F373C"/>
    <w:rsid w:val="003F63F1"/>
    <w:rsid w:val="00411832"/>
    <w:rsid w:val="00531D1A"/>
    <w:rsid w:val="005B1255"/>
    <w:rsid w:val="007244A7"/>
    <w:rsid w:val="00860C00"/>
    <w:rsid w:val="00A7494E"/>
    <w:rsid w:val="00B7344A"/>
    <w:rsid w:val="00C1588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0600E8"/>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421F5"/>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0600E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600E8"/>
    <w:rPr>
      <w:rFonts w:ascii="Tahoma" w:hAnsi="Tahoma" w:cs="Tahoma"/>
      <w:sz w:val="16"/>
      <w:szCs w:val="16"/>
    </w:rPr>
  </w:style>
  <w:style w:type="character" w:customStyle="1" w:styleId="Heading1Char">
    <w:name w:val="Heading 1 Char"/>
    <w:basedOn w:val="DefaultParagraphFont"/>
    <w:link w:val="Heading1"/>
    <w:uiPriority w:val="9"/>
    <w:rsid w:val="000600E8"/>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0600E8"/>
  </w:style>
  <w:style w:type="paragraph" w:styleId="Header">
    <w:name w:val="header"/>
    <w:basedOn w:val="Normal"/>
    <w:link w:val="HeaderChar"/>
    <w:uiPriority w:val="99"/>
    <w:unhideWhenUsed/>
    <w:rsid w:val="000600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00E8"/>
  </w:style>
  <w:style w:type="paragraph" w:styleId="Footer">
    <w:name w:val="footer"/>
    <w:basedOn w:val="Normal"/>
    <w:link w:val="FooterChar"/>
    <w:uiPriority w:val="99"/>
    <w:semiHidden/>
    <w:unhideWhenUsed/>
    <w:rsid w:val="000600E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600E8"/>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b:Source>
    <b:Tag>Hoa18</b:Tag>
    <b:SourceType>JournalArticle</b:SourceType>
    <b:Guid>{6AA2F006-8CC9-4E8B-8B78-850786C42162}</b:Guid>
    <b:LCID>0</b:LCID>
    <b:Author>
      <b:Author>
        <b:NameList>
          <b:Person>
            <b:Last>Hoag</b:Last>
            <b:First>Trevor</b:First>
          </b:Person>
        </b:NameList>
      </b:Author>
    </b:Author>
    <b:Title>From Addiction to Connection: Questioning the Rhetoric of Drugs in Relation to Student Technology-Use</b:Title>
    <b:Year>2018</b:Year>
    <b:Publisher>Christopher Newport University</b:Publisher>
    <b:JournalName>The Journal of Interactive Technology &amp; Pedagogy</b:JournalName>
    <b:Issue>13</b:Issue>
    <b:StandardNumber>https://jitp.commons.gc.cuny.edu/from-addiction-to-connection-questioning-the-rhetoric-of-drugs-in-relation-to-student-technology-use/</b:StandardNumber>
    <b:RefOrder>1</b:RefOrder>
  </b:Source>
</b:Sources>
</file>

<file path=customXml/itemProps1.xml><?xml version="1.0" encoding="utf-8"?>
<ds:datastoreItem xmlns:ds="http://schemas.openxmlformats.org/officeDocument/2006/customXml" ds:itemID="{4B8EA0AA-8643-4FDC-98C6-22C3EF0CBC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116</TotalTime>
  <Pages>4</Pages>
  <Words>648</Words>
  <Characters>3698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6</cp:revision>
  <dcterms:created xsi:type="dcterms:W3CDTF">2019-09-13T07:38:00Z</dcterms:created>
  <dcterms:modified xsi:type="dcterms:W3CDTF">2019-09-13T09:34:00Z</dcterms:modified>
</cp:coreProperties>
</file>